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37C6" w14:textId="77777777" w:rsidR="000607E8" w:rsidRDefault="00000000">
      <w:pPr>
        <w:pStyle w:val="berschrift1"/>
        <w:spacing w:after="80"/>
      </w:pPr>
      <w:r>
        <w:t>Autismus</w:t>
      </w:r>
    </w:p>
    <w:p w14:paraId="480C5CCE" w14:textId="77777777" w:rsidR="000607E8" w:rsidRDefault="00000000">
      <w:pPr>
        <w:spacing w:after="200"/>
      </w:pPr>
      <w:r>
        <w:rPr>
          <w:i/>
          <w:iCs/>
          <w:color w:val="0F3213"/>
          <w:sz w:val="24"/>
          <w:szCs w:val="24"/>
        </w:rPr>
        <w:t>Überblick – neurobiologische Grundlagen, Stärken, Herausforderungen</w:t>
      </w:r>
    </w:p>
    <w:p w14:paraId="1D511551" w14:textId="77777777" w:rsidR="000607E8" w:rsidRDefault="000607E8">
      <w:pPr>
        <w:pBdr>
          <w:bottom w:val="single" w:sz="3" w:space="4" w:color="CCCCCC"/>
        </w:pBdr>
        <w:spacing w:after="280"/>
      </w:pPr>
    </w:p>
    <w:p w14:paraId="4AAB8D08" w14:textId="77777777" w:rsidR="000607E8" w:rsidRDefault="00000000">
      <w:pPr>
        <w:pStyle w:val="berschrift2"/>
      </w:pPr>
      <w:r>
        <w:t>Was ist Autismus?</w:t>
      </w:r>
    </w:p>
    <w:p w14:paraId="324E461F" w14:textId="77777777" w:rsidR="000607E8" w:rsidRDefault="00000000">
      <w:pPr>
        <w:spacing w:after="160"/>
      </w:pPr>
      <w:r>
        <w:t>Autismus ist keine Krankheit und kein Defizit. Es ist eine neurobiologische Variante – eine andere Art, wie das Gehirn Informationen verarbeitet, wahrnimmt und auf die Welt reagiert. Von Geburt an vorhanden, verändert er sich über das Leben, wird aber oft erst im Erwachsenenalter erkannt.</w:t>
      </w:r>
    </w:p>
    <w:p w14:paraId="7FE4E169" w14:textId="77777777" w:rsidR="000607E8" w:rsidRDefault="00000000">
      <w:pPr>
        <w:spacing w:after="280"/>
      </w:pPr>
      <w:r>
        <w:t>Der Fachbegriff lautet Autismus-Spektrum-Störung (ASS). Das Wort „Spektrum“ bedeutet: Es gibt nicht DEN Autismus. Jeder Mensch im Spektrum ist anders. Merkmale können schwach oder stark ausgeprägt sein, sich verändern und überlappen.</w:t>
      </w:r>
    </w:p>
    <w:p w14:paraId="0AA8644C" w14:textId="77777777" w:rsidR="000607E8" w:rsidRDefault="00000000">
      <w:pPr>
        <w:pStyle w:val="berschrift2"/>
      </w:pPr>
      <w:r>
        <w:t>Das Spektrum</w:t>
      </w:r>
    </w:p>
    <w:p w14:paraId="791C617E" w14:textId="77777777" w:rsidR="000607E8" w:rsidRDefault="00000000">
      <w:pPr>
        <w:spacing w:after="160"/>
      </w:pPr>
      <w:r>
        <w:t>Seit dem ICD-11 (2022) werden frühere Kategorien wie Asperger-Syndrom, frühkindlicher Autismus und atypischer Autismus unter einem Begriff zusammengefasst. Die Abgrenzung war nie trennscharf. Die Differenzierung erfolgt jetzt über Unterstützungsbedarf und kognitive Begleitmerkmale.</w:t>
      </w:r>
    </w:p>
    <w:p w14:paraId="50D50D38" w14:textId="77777777" w:rsidR="000607E8" w:rsidRDefault="00000000">
      <w:pPr>
        <w:spacing w:after="280"/>
      </w:pPr>
      <w:r>
        <w:rPr>
          <w:i/>
          <w:iCs/>
          <w:color w:val="888888"/>
          <w:sz w:val="21"/>
          <w:szCs w:val="21"/>
        </w:rPr>
        <w:t>Ca. 1 % der Bevölkerung hat eine diagnostizierte Autismus-Spektrum-Störung. Die tatsächliche Zahl liegt höher – viele erhalten keine oder eine späte Diagnose, besonders Frauen, Mädchen und Menschen, die gelernt haben zu maskieren.</w:t>
      </w:r>
    </w:p>
    <w:p w14:paraId="1868ED4C" w14:textId="77777777" w:rsidR="000607E8" w:rsidRDefault="00000000">
      <w:pPr>
        <w:pStyle w:val="berschrift2"/>
      </w:pPr>
      <w:r>
        <w:t>Stärken</w:t>
      </w:r>
    </w:p>
    <w:p w14:paraId="0C6428D2" w14:textId="77777777" w:rsidR="000607E8" w:rsidRDefault="00000000">
      <w:pPr>
        <w:spacing w:after="160"/>
      </w:pPr>
      <w:r>
        <w:rPr>
          <w:i/>
          <w:iCs/>
          <w:color w:val="888888"/>
        </w:rPr>
        <w:t>Viele Merkmale des Autismus sind kontextabhängig: Was in einer Umgebung als Problem gilt, ist in einer anderen ein Vorteil.</w:t>
      </w:r>
    </w:p>
    <w:p w14:paraId="797EBA35" w14:textId="77777777" w:rsidR="000607E8" w:rsidRDefault="00000000">
      <w:pPr>
        <w:pStyle w:val="berschrift3"/>
      </w:pPr>
      <w:r>
        <w:t>Extreme Mustererkennung</w:t>
      </w:r>
    </w:p>
    <w:p w14:paraId="0DBA6CC2" w14:textId="77777777" w:rsidR="000607E8" w:rsidRDefault="00000000">
      <w:pPr>
        <w:spacing w:after="200"/>
      </w:pPr>
      <w:r>
        <w:t>Autistische Gehirne verarbeiten Details anders – sie erfassen Muster, Diskrepanzen und Strukturen schneller und präziser als neurotypische. Das macht sich bemerkbar in Sprache, Logik, Musik, Mathematik, Code, sozialen Dynamiken und vielem mehr.</w:t>
      </w:r>
    </w:p>
    <w:p w14:paraId="43EAF85D" w14:textId="77777777" w:rsidR="000607E8" w:rsidRDefault="00000000">
      <w:pPr>
        <w:pStyle w:val="berschrift3"/>
      </w:pPr>
      <w:r>
        <w:t>Genauigkeit und Qualitätsanspruch</w:t>
      </w:r>
    </w:p>
    <w:p w14:paraId="2846CFDE" w14:textId="77777777" w:rsidR="000607E8" w:rsidRDefault="00000000">
      <w:pPr>
        <w:spacing w:after="200"/>
      </w:pPr>
      <w:r>
        <w:t>Eine hohe Präzision im Denken und Handeln. Wenig Toleranz für Halbherzigkeit – was anstrengend sein kann, aber auch zu außergewöhnlicher Qualität führt.</w:t>
      </w:r>
    </w:p>
    <w:p w14:paraId="3FA14773" w14:textId="77777777" w:rsidR="000607E8" w:rsidRDefault="00000000">
      <w:pPr>
        <w:pStyle w:val="berschrift3"/>
      </w:pPr>
      <w:r>
        <w:t>Tiefes Verständnis sozialer Dynamiken¹</w:t>
      </w:r>
    </w:p>
    <w:p w14:paraId="293ECB6A" w14:textId="77777777" w:rsidR="000607E8" w:rsidRDefault="00000000">
      <w:pPr>
        <w:spacing w:after="200"/>
      </w:pPr>
      <w:r>
        <w:t xml:space="preserve">Paradoxerweise analysieren viele autistische Menschen soziale Situationen intensiver und genauer als neurotypische – sie lesen Machtgefüge, Subtext und Muster präzise. Von außen wirkt es oft trotzdem merkwürdig oder besonders – weil die Kommunikationsstile zwischen autistischen und nicht-autistischen Menschen schlicht verschieden sind. Das ist das Double </w:t>
      </w:r>
      <w:proofErr w:type="spellStart"/>
      <w:r>
        <w:t>Empathy</w:t>
      </w:r>
      <w:proofErr w:type="spellEnd"/>
      <w:r>
        <w:t xml:space="preserve"> Problem (siehe unten).</w:t>
      </w:r>
    </w:p>
    <w:p w14:paraId="690E63AB" w14:textId="77777777" w:rsidR="000607E8" w:rsidRDefault="00000000">
      <w:pPr>
        <w:pStyle w:val="berschrift3"/>
      </w:pPr>
      <w:r>
        <w:t>Monotropismus²</w:t>
      </w:r>
    </w:p>
    <w:p w14:paraId="68127FDE" w14:textId="77777777" w:rsidR="000607E8" w:rsidRDefault="00000000">
      <w:pPr>
        <w:spacing w:after="200"/>
      </w:pPr>
      <w:r>
        <w:t xml:space="preserve">Autistische Menschen neigen dazu, Aufmerksamkeit intensiv auf wenige Dinge gleichzeitig zu richten. Das erklärt Hyperfokus, Spezialinteressen und warum Unterbrechungen so </w:t>
      </w:r>
      <w:proofErr w:type="gramStart"/>
      <w:r>
        <w:t>schwer fallen</w:t>
      </w:r>
      <w:proofErr w:type="gramEnd"/>
      <w:r>
        <w:t>. Im richtigen Kontext ermöglicht es jedoch tiefstes Eintauchen und Expertise.</w:t>
      </w:r>
    </w:p>
    <w:p w14:paraId="28C0654E" w14:textId="77777777" w:rsidR="000607E8" w:rsidRDefault="00000000">
      <w:pPr>
        <w:pStyle w:val="berschrift3"/>
      </w:pPr>
      <w:r>
        <w:lastRenderedPageBreak/>
        <w:t xml:space="preserve">Justice </w:t>
      </w:r>
      <w:proofErr w:type="spellStart"/>
      <w:r>
        <w:t>Sensitivity</w:t>
      </w:r>
      <w:proofErr w:type="spellEnd"/>
    </w:p>
    <w:p w14:paraId="77FB2C43" w14:textId="77777777" w:rsidR="000607E8" w:rsidRDefault="00000000">
      <w:pPr>
        <w:spacing w:after="200"/>
      </w:pPr>
      <w:r>
        <w:t>Ein ausgeprägtes Gefühl für Fairness und Gerechtigkeit. Ungerechtigkeiten – auch gegenüber anderen – werden intensiv wahrgenommen und gefühlt. Kann zu starkem Einsatz für andere führen, aber auch zu Überlastung.</w:t>
      </w:r>
    </w:p>
    <w:p w14:paraId="79DDF8C1" w14:textId="77777777" w:rsidR="000607E8" w:rsidRDefault="00000000">
      <w:pPr>
        <w:pStyle w:val="berschrift3"/>
      </w:pPr>
      <w:r>
        <w:t>Hyper-Empathie</w:t>
      </w:r>
    </w:p>
    <w:p w14:paraId="539CEC0A" w14:textId="77777777" w:rsidR="000607E8" w:rsidRDefault="00000000">
      <w:pPr>
        <w:spacing w:after="200"/>
      </w:pPr>
      <w:r>
        <w:t xml:space="preserve">Das Narrativ „Autisten haben </w:t>
      </w:r>
      <w:proofErr w:type="gramStart"/>
      <w:r>
        <w:t>kein Empathie</w:t>
      </w:r>
      <w:proofErr w:type="gramEnd"/>
      <w:r>
        <w:t>“ ist falsch. Viele autistische Menschen empfinden Empathie intensiver – manchmal zu viel davon. Was fehlt, ist die automatische Einschätzung neurotypischer sozialer Codes – nicht das Mitgefühl.</w:t>
      </w:r>
    </w:p>
    <w:p w14:paraId="46181313" w14:textId="77777777" w:rsidR="000607E8" w:rsidRDefault="00000000">
      <w:pPr>
        <w:pStyle w:val="berschrift3"/>
      </w:pPr>
      <w:r>
        <w:t>Direkte Kommunikation</w:t>
      </w:r>
    </w:p>
    <w:p w14:paraId="24A098C5" w14:textId="77777777" w:rsidR="000607E8" w:rsidRDefault="00000000">
      <w:pPr>
        <w:spacing w:after="280"/>
      </w:pPr>
      <w:r>
        <w:t>Klare, aufrichtige, nicht-manipulative Kommunikation. Kein Subtext, keine versteckten Agenden. Was gesagt wird, ist gemeint.</w:t>
      </w:r>
    </w:p>
    <w:p w14:paraId="40118160" w14:textId="77777777" w:rsidR="000607E8" w:rsidRDefault="00000000">
      <w:pPr>
        <w:pStyle w:val="berschrift3"/>
      </w:pPr>
      <w:r>
        <w:t>Tiefe Loyalität</w:t>
      </w:r>
    </w:p>
    <w:p w14:paraId="7A9D2879" w14:textId="77777777" w:rsidR="000607E8" w:rsidRDefault="00000000">
      <w:pPr>
        <w:spacing w:after="280"/>
      </w:pPr>
      <w:r>
        <w:t>Wer einmal als sicher eingestuft ist, bekommt absolute Verlässlichkeit, ehrliche Rückmeldung und echtes Interesse. Keine sozialen Spiele, keine versteckten Agenden.</w:t>
      </w:r>
    </w:p>
    <w:p w14:paraId="7A2699AC" w14:textId="77777777" w:rsidR="000607E8" w:rsidRDefault="00000000">
      <w:pPr>
        <w:pStyle w:val="berschrift2"/>
      </w:pPr>
      <w:r>
        <w:t>Herausforderungen</w:t>
      </w:r>
    </w:p>
    <w:p w14:paraId="35E25518" w14:textId="77777777" w:rsidR="000607E8" w:rsidRDefault="00000000">
      <w:pPr>
        <w:spacing w:after="160"/>
      </w:pPr>
      <w:r>
        <w:rPr>
          <w:i/>
          <w:iCs/>
          <w:color w:val="888888"/>
        </w:rPr>
        <w:t>Herausforderungen entstehen oft nicht durch Autismus selbst, sondern durch das Aufeinanderprallen zweier verschiedener Kommunikationssysteme in einer Welt, die primär für neurotypische Menschen gebaut wurde.</w:t>
      </w:r>
    </w:p>
    <w:p w14:paraId="46E74C11" w14:textId="77777777" w:rsidR="000607E8" w:rsidRDefault="00000000">
      <w:pPr>
        <w:pStyle w:val="Listenabsatz"/>
        <w:numPr>
          <w:ilvl w:val="0"/>
          <w:numId w:val="2"/>
        </w:numPr>
      </w:pPr>
      <w:r>
        <w:rPr>
          <w:b/>
          <w:bCs/>
        </w:rPr>
        <w:t xml:space="preserve">Sensorische Verarbeitung: </w:t>
      </w:r>
      <w:r>
        <w:t>Reize werden anders, oft intensiver gefiltert – Geräusche, Licht, Gerüche, Berührung (siehe Sensorik).</w:t>
      </w:r>
    </w:p>
    <w:p w14:paraId="325DF38E" w14:textId="77777777" w:rsidR="000607E8" w:rsidRDefault="00000000">
      <w:pPr>
        <w:pStyle w:val="Listenabsatz"/>
        <w:numPr>
          <w:ilvl w:val="0"/>
          <w:numId w:val="2"/>
        </w:numPr>
      </w:pPr>
      <w:r>
        <w:rPr>
          <w:b/>
          <w:bCs/>
        </w:rPr>
        <w:t xml:space="preserve">Übergänge und Wechsel: </w:t>
      </w:r>
      <w:r>
        <w:t>Jeder Übergang bedeutet einen Neustart. Das kostet unverhältnismäßig viel Energie.</w:t>
      </w:r>
    </w:p>
    <w:p w14:paraId="59555E15" w14:textId="77777777" w:rsidR="000607E8" w:rsidRDefault="00000000">
      <w:pPr>
        <w:pStyle w:val="Listenabsatz"/>
        <w:numPr>
          <w:ilvl w:val="0"/>
          <w:numId w:val="2"/>
        </w:numPr>
      </w:pPr>
      <w:r>
        <w:rPr>
          <w:b/>
          <w:bCs/>
        </w:rPr>
        <w:t xml:space="preserve">Exekutivfunktionen: </w:t>
      </w:r>
      <w:r>
        <w:t>Planung, Priorisierung, Aufgabenwechsel, Initiierung – alle teurer als neurotypisch.</w:t>
      </w:r>
    </w:p>
    <w:p w14:paraId="3B07411E" w14:textId="77777777" w:rsidR="000607E8" w:rsidRDefault="00000000">
      <w:pPr>
        <w:pStyle w:val="Listenabsatz"/>
        <w:numPr>
          <w:ilvl w:val="0"/>
          <w:numId w:val="2"/>
        </w:numPr>
      </w:pPr>
      <w:r>
        <w:rPr>
          <w:b/>
          <w:bCs/>
        </w:rPr>
        <w:t xml:space="preserve">Soziale Codes: </w:t>
      </w:r>
      <w:r>
        <w:t>Implizite Regeln müssen kognitiv erarbeitet werden, sind nicht intuitiv. Das erschöpft.</w:t>
      </w:r>
    </w:p>
    <w:p w14:paraId="2059EE8C" w14:textId="77777777" w:rsidR="000607E8" w:rsidRDefault="00000000">
      <w:pPr>
        <w:pStyle w:val="Listenabsatz"/>
        <w:numPr>
          <w:ilvl w:val="0"/>
          <w:numId w:val="2"/>
        </w:numPr>
      </w:pPr>
      <w:r>
        <w:rPr>
          <w:b/>
          <w:bCs/>
        </w:rPr>
        <w:t xml:space="preserve">Routinen: </w:t>
      </w:r>
      <w:r>
        <w:t>Unerwartete Veränderungen können echten Stress auslösen – nicht als Sturheit, sondern als Nervensystemreaktion.</w:t>
      </w:r>
    </w:p>
    <w:p w14:paraId="352131C0" w14:textId="77777777" w:rsidR="000607E8" w:rsidRDefault="00000000">
      <w:pPr>
        <w:pStyle w:val="Listenabsatz"/>
        <w:numPr>
          <w:ilvl w:val="0"/>
          <w:numId w:val="2"/>
        </w:numPr>
      </w:pPr>
      <w:r>
        <w:rPr>
          <w:b/>
          <w:bCs/>
        </w:rPr>
        <w:t xml:space="preserve">Selbstregulation: </w:t>
      </w:r>
      <w:r>
        <w:t xml:space="preserve">Emotionale Zustände können intensiver sein und schwerer regulierbar. </w:t>
      </w:r>
      <w:proofErr w:type="spellStart"/>
      <w:r>
        <w:t>Meltdown</w:t>
      </w:r>
      <w:proofErr w:type="spellEnd"/>
      <w:r>
        <w:t xml:space="preserve"> und Shutdown als Extreme.</w:t>
      </w:r>
    </w:p>
    <w:p w14:paraId="557E51C4" w14:textId="77777777" w:rsidR="000607E8" w:rsidRDefault="00000000">
      <w:pPr>
        <w:pStyle w:val="Listenabsatz"/>
        <w:numPr>
          <w:ilvl w:val="0"/>
          <w:numId w:val="2"/>
        </w:numPr>
      </w:pPr>
      <w:proofErr w:type="spellStart"/>
      <w:r>
        <w:rPr>
          <w:b/>
          <w:bCs/>
        </w:rPr>
        <w:t>Interozeptions</w:t>
      </w:r>
      <w:proofErr w:type="spellEnd"/>
      <w:r>
        <w:rPr>
          <w:b/>
          <w:bCs/>
        </w:rPr>
        <w:t xml:space="preserve">-Defizit: </w:t>
      </w:r>
      <w:r>
        <w:t>Körpersignale wie Hunger, Durst, Schmerz oder Müdigkeit werden später oder gar nicht wahrgenommen.</w:t>
      </w:r>
    </w:p>
    <w:p w14:paraId="6A139CD3" w14:textId="77777777" w:rsidR="000607E8" w:rsidRDefault="000607E8">
      <w:pPr>
        <w:spacing w:after="200"/>
      </w:pPr>
    </w:p>
    <w:p w14:paraId="0D743594" w14:textId="77777777" w:rsidR="000607E8" w:rsidRDefault="00000000">
      <w:pPr>
        <w:pStyle w:val="berschrift2"/>
      </w:pPr>
      <w:r>
        <w:t xml:space="preserve">Das Double </w:t>
      </w:r>
      <w:proofErr w:type="spellStart"/>
      <w:r>
        <w:t>Empathy</w:t>
      </w:r>
      <w:proofErr w:type="spellEnd"/>
      <w:r>
        <w:t xml:space="preserve"> Problem¹</w:t>
      </w:r>
    </w:p>
    <w:p w14:paraId="3E3829F6" w14:textId="77777777" w:rsidR="000607E8" w:rsidRDefault="00000000">
      <w:pPr>
        <w:spacing w:after="160"/>
      </w:pPr>
      <w:r>
        <w:t>Geprägt von dem autistischen Forscher Dr. Damian Milton (2012). Die Theorie besagt: Kommunikationsprobleme zwischen autistischen und nicht-autistischen Menschen sind keine einseitige Schwäche – sie sind gegenseitig.</w:t>
      </w:r>
    </w:p>
    <w:p w14:paraId="0BAE88E1" w14:textId="77777777" w:rsidR="000607E8" w:rsidRDefault="00000000">
      <w:pPr>
        <w:pBdr>
          <w:left w:val="single" w:sz="12" w:space="8" w:color="0F3213"/>
        </w:pBdr>
        <w:spacing w:before="100" w:after="200"/>
        <w:ind w:left="280"/>
      </w:pPr>
      <w:r>
        <w:rPr>
          <w:i/>
          <w:iCs/>
        </w:rPr>
        <w:t>Nicht die autistische Person versteht die Welt zu wenig – sondern beide Seiten haben Schwierigkeiten, die jeweils andere Perspektive zu verstehen.</w:t>
      </w:r>
    </w:p>
    <w:p w14:paraId="41C5D04B" w14:textId="77777777" w:rsidR="000607E8" w:rsidRDefault="00000000">
      <w:pPr>
        <w:pStyle w:val="Listenabsatz"/>
        <w:numPr>
          <w:ilvl w:val="0"/>
          <w:numId w:val="2"/>
        </w:numPr>
      </w:pPr>
      <w:r>
        <w:rPr>
          <w:b/>
          <w:bCs/>
        </w:rPr>
        <w:t xml:space="preserve">Autistische Menschen unter sich: </w:t>
      </w:r>
      <w:r>
        <w:t>Kommunizieren oft deutlich besser und mit weniger Missverständnissen miteinander als mit Neurotypischen.</w:t>
      </w:r>
    </w:p>
    <w:p w14:paraId="5CD49BB2" w14:textId="77777777" w:rsidR="000607E8" w:rsidRDefault="00000000">
      <w:pPr>
        <w:pStyle w:val="Listenabsatz"/>
        <w:numPr>
          <w:ilvl w:val="0"/>
          <w:numId w:val="2"/>
        </w:numPr>
      </w:pPr>
      <w:r>
        <w:rPr>
          <w:b/>
          <w:bCs/>
        </w:rPr>
        <w:lastRenderedPageBreak/>
        <w:t xml:space="preserve">Der Blick von außen: </w:t>
      </w:r>
      <w:r>
        <w:t>Was auf Neurotypische merkwürdig wirkt, folgt einer eigenen Logik – die intern völlig kohärent ist.</w:t>
      </w:r>
    </w:p>
    <w:p w14:paraId="6365DC52" w14:textId="77777777" w:rsidR="000607E8" w:rsidRDefault="00000000">
      <w:pPr>
        <w:pStyle w:val="Listenabsatz"/>
        <w:numPr>
          <w:ilvl w:val="0"/>
          <w:numId w:val="2"/>
        </w:numPr>
      </w:pPr>
      <w:r>
        <w:rPr>
          <w:b/>
          <w:bCs/>
        </w:rPr>
        <w:t xml:space="preserve">Folge: </w:t>
      </w:r>
      <w:r>
        <w:t>Die Last der Anpassung liegt meist einseitig beim autistischen Menschen. Das erschöpft langfristig.</w:t>
      </w:r>
    </w:p>
    <w:p w14:paraId="55C21BC4" w14:textId="77777777" w:rsidR="000607E8" w:rsidRDefault="000607E8">
      <w:pPr>
        <w:spacing w:after="200"/>
      </w:pPr>
    </w:p>
    <w:p w14:paraId="12B01036" w14:textId="77777777" w:rsidR="000607E8" w:rsidRDefault="00000000">
      <w:pPr>
        <w:pStyle w:val="berschrift2"/>
      </w:pPr>
      <w:r>
        <w:t>Sensorische Verarbeitung</w:t>
      </w:r>
    </w:p>
    <w:p w14:paraId="076AB193" w14:textId="77777777" w:rsidR="000607E8" w:rsidRDefault="00000000">
      <w:pPr>
        <w:spacing w:after="160"/>
      </w:pPr>
      <w:r>
        <w:t>Autistische Gehirne verarbeiten sensorische Informationen anders – Reize werden oft intensiver, weniger gefiltert wahrgenommen.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4"/>
        <w:gridCol w:w="3517"/>
        <w:gridCol w:w="3517"/>
      </w:tblGrid>
      <w:tr w:rsidR="000607E8" w14:paraId="063FF7FE" w14:textId="77777777">
        <w:tblPrEx>
          <w:tblCellMar>
            <w:top w:w="0" w:type="dxa"/>
            <w:bottom w:w="0" w:type="dxa"/>
          </w:tblCellMar>
        </w:tblPrEx>
        <w:trPr>
          <w:tblHeader/>
        </w:trPr>
        <w:tc>
          <w:tcPr>
            <w:tcW w:w="110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232B1298" w14:textId="77777777" w:rsidR="000607E8" w:rsidRDefault="00000000">
            <w:r>
              <w:rPr>
                <w:b/>
                <w:bCs/>
                <w:color w:val="0B4D38"/>
                <w:sz w:val="20"/>
                <w:szCs w:val="20"/>
              </w:rPr>
              <w:t>Sinn</w:t>
            </w:r>
          </w:p>
        </w:tc>
        <w:tc>
          <w:tcPr>
            <w:tcW w:w="195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467521EB" w14:textId="77777777" w:rsidR="000607E8" w:rsidRDefault="00000000">
            <w:proofErr w:type="spellStart"/>
            <w:r>
              <w:rPr>
                <w:b/>
                <w:bCs/>
                <w:color w:val="0B4D38"/>
                <w:sz w:val="20"/>
                <w:szCs w:val="20"/>
              </w:rPr>
              <w:t>Hyper</w:t>
            </w:r>
            <w:proofErr w:type="spellEnd"/>
            <w:r>
              <w:rPr>
                <w:b/>
                <w:bCs/>
                <w:color w:val="0B4D38"/>
                <w:sz w:val="20"/>
                <w:szCs w:val="20"/>
              </w:rPr>
              <w:t xml:space="preserve"> (zu viel)</w:t>
            </w:r>
          </w:p>
        </w:tc>
        <w:tc>
          <w:tcPr>
            <w:tcW w:w="1950" w:type="pct"/>
            <w:tcBorders>
              <w:top w:val="single" w:sz="3" w:space="0" w:color="CCCCCC"/>
              <w:left w:val="single" w:sz="3" w:space="0" w:color="CCCCCC"/>
              <w:bottom w:val="single" w:sz="6" w:space="0" w:color="0F3213"/>
              <w:right w:val="single" w:sz="3" w:space="0" w:color="CCCCCC"/>
            </w:tcBorders>
            <w:shd w:val="clear" w:color="auto" w:fill="E0EBE0"/>
            <w:tcMar>
              <w:top w:w="80" w:type="dxa"/>
              <w:left w:w="140" w:type="dxa"/>
              <w:bottom w:w="80" w:type="dxa"/>
              <w:right w:w="100" w:type="dxa"/>
            </w:tcMar>
          </w:tcPr>
          <w:p w14:paraId="16A2FFE7" w14:textId="77777777" w:rsidR="000607E8" w:rsidRDefault="00000000">
            <w:proofErr w:type="spellStart"/>
            <w:r>
              <w:rPr>
                <w:b/>
                <w:bCs/>
                <w:color w:val="0B4D38"/>
                <w:sz w:val="20"/>
                <w:szCs w:val="20"/>
              </w:rPr>
              <w:t>Hypo</w:t>
            </w:r>
            <w:proofErr w:type="spellEnd"/>
            <w:r>
              <w:rPr>
                <w:b/>
                <w:bCs/>
                <w:color w:val="0B4D38"/>
                <w:sz w:val="20"/>
                <w:szCs w:val="20"/>
              </w:rPr>
              <w:t xml:space="preserve"> (zu wenig)</w:t>
            </w:r>
          </w:p>
        </w:tc>
      </w:tr>
      <w:tr w:rsidR="000607E8" w14:paraId="6B27D9DD"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5F199227" w14:textId="77777777" w:rsidR="000607E8" w:rsidRDefault="00000000">
            <w:pPr>
              <w:spacing w:after="80"/>
            </w:pPr>
            <w:r>
              <w:rPr>
                <w:b/>
                <w:bCs/>
                <w:color w:val="0B4D38"/>
                <w:sz w:val="20"/>
                <w:szCs w:val="20"/>
              </w:rPr>
              <w:t>Gehör</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308DBEC" w14:textId="77777777" w:rsidR="000607E8" w:rsidRDefault="00000000">
            <w:pPr>
              <w:spacing w:after="80"/>
            </w:pPr>
            <w:r>
              <w:rPr>
                <w:sz w:val="20"/>
                <w:szCs w:val="20"/>
              </w:rPr>
              <w:t>Lärm, Stimmengewirr unerträglich</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5E9F34E" w14:textId="77777777" w:rsidR="000607E8" w:rsidRDefault="00000000">
            <w:pPr>
              <w:spacing w:after="80"/>
            </w:pPr>
            <w:r>
              <w:rPr>
                <w:sz w:val="20"/>
                <w:szCs w:val="20"/>
              </w:rPr>
              <w:t>Reizsuche durch laute Musik, Stimulation</w:t>
            </w:r>
          </w:p>
        </w:tc>
      </w:tr>
      <w:tr w:rsidR="000607E8" w14:paraId="729079E4"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2DDEE04" w14:textId="77777777" w:rsidR="000607E8" w:rsidRDefault="00000000">
            <w:pPr>
              <w:spacing w:after="80"/>
            </w:pPr>
            <w:r>
              <w:rPr>
                <w:b/>
                <w:bCs/>
                <w:color w:val="0B4D38"/>
                <w:sz w:val="20"/>
                <w:szCs w:val="20"/>
              </w:rPr>
              <w:t>Sehen</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4700FDAC" w14:textId="77777777" w:rsidR="000607E8" w:rsidRDefault="00000000">
            <w:pPr>
              <w:spacing w:after="80"/>
            </w:pPr>
            <w:r>
              <w:rPr>
                <w:sz w:val="20"/>
                <w:szCs w:val="20"/>
              </w:rPr>
              <w:t>Grelles Licht, Bildschirm, Flackern überwältigen</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C1090D2" w14:textId="77777777" w:rsidR="000607E8" w:rsidRDefault="00000000">
            <w:pPr>
              <w:spacing w:after="80"/>
            </w:pPr>
            <w:r>
              <w:rPr>
                <w:sz w:val="20"/>
                <w:szCs w:val="20"/>
              </w:rPr>
              <w:t>Starkes Verlangen nach visueller Stimulation</w:t>
            </w:r>
          </w:p>
        </w:tc>
      </w:tr>
      <w:tr w:rsidR="000607E8" w14:paraId="4D269761"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2BA1031C" w14:textId="77777777" w:rsidR="000607E8" w:rsidRDefault="00000000">
            <w:pPr>
              <w:spacing w:after="80"/>
            </w:pPr>
            <w:r>
              <w:rPr>
                <w:b/>
                <w:bCs/>
                <w:color w:val="0B4D38"/>
                <w:sz w:val="20"/>
                <w:szCs w:val="20"/>
              </w:rPr>
              <w:t>Berührung</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B011692" w14:textId="77777777" w:rsidR="000607E8" w:rsidRDefault="00000000">
            <w:pPr>
              <w:spacing w:after="80"/>
            </w:pPr>
            <w:r>
              <w:rPr>
                <w:sz w:val="20"/>
                <w:szCs w:val="20"/>
              </w:rPr>
              <w:t xml:space="preserve">Etiketten in Kleidung, </w:t>
            </w:r>
            <w:proofErr w:type="spellStart"/>
            <w:r>
              <w:rPr>
                <w:sz w:val="20"/>
                <w:szCs w:val="20"/>
              </w:rPr>
              <w:t>unangeforderte</w:t>
            </w:r>
            <w:proofErr w:type="spellEnd"/>
            <w:r>
              <w:rPr>
                <w:sz w:val="20"/>
                <w:szCs w:val="20"/>
              </w:rPr>
              <w:t xml:space="preserve"> Berührung</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3CBD13B" w14:textId="77777777" w:rsidR="000607E8" w:rsidRDefault="00000000">
            <w:pPr>
              <w:spacing w:after="80"/>
            </w:pPr>
            <w:r>
              <w:rPr>
                <w:sz w:val="20"/>
                <w:szCs w:val="20"/>
              </w:rPr>
              <w:t>Suche nach Druck, Gewichtsdecke, enger Kleidung</w:t>
            </w:r>
          </w:p>
        </w:tc>
      </w:tr>
      <w:tr w:rsidR="000607E8" w14:paraId="407C49E6"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5C8A4100" w14:textId="77777777" w:rsidR="000607E8" w:rsidRDefault="00000000">
            <w:pPr>
              <w:spacing w:after="80"/>
            </w:pPr>
            <w:r>
              <w:rPr>
                <w:b/>
                <w:bCs/>
                <w:color w:val="0B4D38"/>
                <w:sz w:val="20"/>
                <w:szCs w:val="20"/>
              </w:rPr>
              <w:t>Geruch</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3EEC71E5" w14:textId="77777777" w:rsidR="000607E8" w:rsidRDefault="00000000">
            <w:pPr>
              <w:spacing w:after="80"/>
            </w:pPr>
            <w:r>
              <w:rPr>
                <w:sz w:val="20"/>
                <w:szCs w:val="20"/>
              </w:rPr>
              <w:t>Parfüm, Reinigungsmittel, Lebensmittelgerüche</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0FDA3051" w14:textId="77777777" w:rsidR="000607E8" w:rsidRDefault="00000000">
            <w:pPr>
              <w:spacing w:after="80"/>
            </w:pPr>
            <w:r>
              <w:rPr>
                <w:sz w:val="20"/>
                <w:szCs w:val="20"/>
              </w:rPr>
              <w:t>Starke Düfte als angenehm regulierend erleben</w:t>
            </w:r>
          </w:p>
        </w:tc>
      </w:tr>
      <w:tr w:rsidR="000607E8" w14:paraId="47D5A8EB" w14:textId="77777777">
        <w:tblPrEx>
          <w:tblCellMar>
            <w:top w:w="0" w:type="dxa"/>
            <w:bottom w:w="0" w:type="dxa"/>
          </w:tblCellMar>
        </w:tblPrEx>
        <w:tc>
          <w:tcPr>
            <w:tcW w:w="1100" w:type="pct"/>
            <w:tcBorders>
              <w:top w:val="single" w:sz="3" w:space="0" w:color="CCCCCC"/>
              <w:left w:val="single" w:sz="3" w:space="0" w:color="CCCCCC"/>
              <w:bottom w:val="single" w:sz="3" w:space="0" w:color="CCCCCC"/>
              <w:right w:val="single" w:sz="3" w:space="0" w:color="CCCCCC"/>
            </w:tcBorders>
            <w:shd w:val="clear" w:color="auto" w:fill="F0F4F0"/>
            <w:tcMar>
              <w:top w:w="80" w:type="dxa"/>
              <w:left w:w="140" w:type="dxa"/>
              <w:bottom w:w="80" w:type="dxa"/>
              <w:right w:w="100" w:type="dxa"/>
            </w:tcMar>
          </w:tcPr>
          <w:p w14:paraId="7B2BD86A" w14:textId="77777777" w:rsidR="000607E8" w:rsidRDefault="00000000">
            <w:pPr>
              <w:spacing w:after="80"/>
            </w:pPr>
            <w:r>
              <w:rPr>
                <w:b/>
                <w:bCs/>
                <w:color w:val="0B4D38"/>
                <w:sz w:val="20"/>
                <w:szCs w:val="20"/>
              </w:rPr>
              <w:t>Propriozeption</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5C1A4EDF" w14:textId="77777777" w:rsidR="000607E8" w:rsidRDefault="00000000">
            <w:pPr>
              <w:spacing w:after="80"/>
            </w:pPr>
            <w:r>
              <w:rPr>
                <w:sz w:val="20"/>
                <w:szCs w:val="20"/>
              </w:rPr>
              <w:t>Gefühl im Körper schwer einschätzbar</w:t>
            </w:r>
          </w:p>
        </w:tc>
        <w:tc>
          <w:tcPr>
            <w:tcW w:w="1950" w:type="pct"/>
            <w:tcBorders>
              <w:top w:val="single" w:sz="3" w:space="0" w:color="CCCCCC"/>
              <w:left w:val="single" w:sz="3" w:space="0" w:color="CCCCCC"/>
              <w:bottom w:val="single" w:sz="3" w:space="0" w:color="CCCCCC"/>
              <w:right w:val="single" w:sz="3" w:space="0" w:color="CCCCCC"/>
            </w:tcBorders>
            <w:tcMar>
              <w:top w:w="80" w:type="dxa"/>
              <w:left w:w="140" w:type="dxa"/>
              <w:bottom w:w="80" w:type="dxa"/>
              <w:right w:w="100" w:type="dxa"/>
            </w:tcMar>
          </w:tcPr>
          <w:p w14:paraId="78509E4B" w14:textId="77777777" w:rsidR="000607E8" w:rsidRDefault="00000000">
            <w:pPr>
              <w:spacing w:after="80"/>
            </w:pPr>
            <w:r>
              <w:rPr>
                <w:sz w:val="20"/>
                <w:szCs w:val="20"/>
              </w:rPr>
              <w:t>Schaukeln, Stampfen, Druck als regulierend</w:t>
            </w:r>
          </w:p>
        </w:tc>
      </w:tr>
    </w:tbl>
    <w:p w14:paraId="6ABE1B02" w14:textId="77777777" w:rsidR="000607E8" w:rsidRDefault="000607E8">
      <w:pPr>
        <w:spacing w:after="200"/>
      </w:pPr>
    </w:p>
    <w:p w14:paraId="1A1EFB30" w14:textId="77777777" w:rsidR="000607E8" w:rsidRDefault="00000000">
      <w:pPr>
        <w:pStyle w:val="berschrift2"/>
      </w:pPr>
      <w:r>
        <w:t>Masking³</w:t>
      </w:r>
    </w:p>
    <w:p w14:paraId="319723A6" w14:textId="77777777" w:rsidR="000607E8" w:rsidRDefault="00000000">
      <w:pPr>
        <w:spacing w:after="160"/>
      </w:pPr>
      <w:proofErr w:type="spellStart"/>
      <w:r>
        <w:t>Masking</w:t>
      </w:r>
      <w:proofErr w:type="spellEnd"/>
      <w:r>
        <w:t xml:space="preserve"> – auch </w:t>
      </w:r>
      <w:proofErr w:type="spellStart"/>
      <w:r>
        <w:t>Camouflaging</w:t>
      </w:r>
      <w:proofErr w:type="spellEnd"/>
      <w:r>
        <w:t xml:space="preserve"> – bezeichnet das Unterdrücken natürlicher autistischer Verhaltensweisen um anzupassen, dazuzugehören oder Konflikte zu vermeiden.</w:t>
      </w:r>
    </w:p>
    <w:p w14:paraId="0E3F6E86" w14:textId="77777777" w:rsidR="000607E8" w:rsidRDefault="00000000">
      <w:pPr>
        <w:pStyle w:val="Listenabsatz"/>
        <w:numPr>
          <w:ilvl w:val="0"/>
          <w:numId w:val="2"/>
        </w:numPr>
      </w:pPr>
      <w:r>
        <w:rPr>
          <w:b/>
          <w:bCs/>
        </w:rPr>
        <w:t xml:space="preserve">Was </w:t>
      </w:r>
      <w:proofErr w:type="spellStart"/>
      <w:r>
        <w:rPr>
          <w:b/>
          <w:bCs/>
        </w:rPr>
        <w:t>gemaskted</w:t>
      </w:r>
      <w:proofErr w:type="spellEnd"/>
      <w:r>
        <w:rPr>
          <w:b/>
          <w:bCs/>
        </w:rPr>
        <w:t xml:space="preserve"> wird: </w:t>
      </w:r>
      <w:proofErr w:type="spellStart"/>
      <w:r>
        <w:t>Stimming</w:t>
      </w:r>
      <w:proofErr w:type="spellEnd"/>
      <w:r>
        <w:t>, direkte Kommunikation, Reizreaktionen, Sonderinteressen, Grenzen.</w:t>
      </w:r>
    </w:p>
    <w:p w14:paraId="327FCEA4" w14:textId="77777777" w:rsidR="000607E8" w:rsidRDefault="00000000">
      <w:pPr>
        <w:pStyle w:val="Listenabsatz"/>
        <w:numPr>
          <w:ilvl w:val="0"/>
          <w:numId w:val="2"/>
        </w:numPr>
      </w:pPr>
      <w:r>
        <w:rPr>
          <w:b/>
          <w:bCs/>
        </w:rPr>
        <w:t xml:space="preserve">Warum: </w:t>
      </w:r>
      <w:r>
        <w:t>Ablehnung, Mobbing, negative Konsequenzen – das Nervensystem lernt, dass Anpassung sicherer ist.</w:t>
      </w:r>
    </w:p>
    <w:p w14:paraId="6C2739C0" w14:textId="77777777" w:rsidR="000607E8" w:rsidRDefault="00000000">
      <w:pPr>
        <w:pStyle w:val="Listenabsatz"/>
        <w:numPr>
          <w:ilvl w:val="0"/>
          <w:numId w:val="2"/>
        </w:numPr>
      </w:pPr>
      <w:r>
        <w:rPr>
          <w:b/>
          <w:bCs/>
        </w:rPr>
        <w:t xml:space="preserve">Kosten: </w:t>
      </w:r>
      <w:r>
        <w:t xml:space="preserve">Extrem erschöpfend. Chronisches </w:t>
      </w:r>
      <w:proofErr w:type="spellStart"/>
      <w:r>
        <w:t>Masking</w:t>
      </w:r>
      <w:proofErr w:type="spellEnd"/>
      <w:r>
        <w:t xml:space="preserve"> führt zu autistischem Burnout, Angst, Depression.</w:t>
      </w:r>
    </w:p>
    <w:p w14:paraId="37DF623A" w14:textId="77777777" w:rsidR="000607E8" w:rsidRDefault="00000000">
      <w:pPr>
        <w:pStyle w:val="Listenabsatz"/>
        <w:numPr>
          <w:ilvl w:val="0"/>
          <w:numId w:val="2"/>
        </w:numPr>
      </w:pPr>
      <w:r>
        <w:rPr>
          <w:b/>
          <w:bCs/>
        </w:rPr>
        <w:t xml:space="preserve">Besonders betroffen: </w:t>
      </w:r>
      <w:r>
        <w:t>Frauen, Mädchen und AFAB-Personen – die soziale Konditionierung zur Anpassung ist bei ihnen oft stärker, weshalb sie häufig später oder gar nicht diagnostiziert werden.</w:t>
      </w:r>
    </w:p>
    <w:p w14:paraId="0FC81F11" w14:textId="77777777" w:rsidR="000607E8" w:rsidRDefault="000607E8">
      <w:pPr>
        <w:spacing w:after="200"/>
      </w:pPr>
    </w:p>
    <w:p w14:paraId="0B5C9A68" w14:textId="77777777" w:rsidR="000607E8" w:rsidRDefault="00000000">
      <w:pPr>
        <w:pStyle w:val="berschrift2"/>
      </w:pPr>
      <w:r>
        <w:t>Spätdiagnose im Erwachsenenalter⁴</w:t>
      </w:r>
    </w:p>
    <w:p w14:paraId="7A9C4957" w14:textId="77777777" w:rsidR="000607E8" w:rsidRDefault="00000000">
      <w:pPr>
        <w:spacing w:after="160"/>
      </w:pPr>
      <w:r>
        <w:t xml:space="preserve">Viele autistische Menschen erhalten ihre Diagnose erst als Erwachsene – nach Jahren oder Jahrzehnten des Funktionierens, </w:t>
      </w:r>
      <w:proofErr w:type="spellStart"/>
      <w:r>
        <w:t>Maskings</w:t>
      </w:r>
      <w:proofErr w:type="spellEnd"/>
      <w:r>
        <w:t xml:space="preserve"> und Nicht-Verstehens.</w:t>
      </w:r>
    </w:p>
    <w:p w14:paraId="58B68C55" w14:textId="77777777" w:rsidR="000607E8" w:rsidRDefault="00000000">
      <w:pPr>
        <w:pStyle w:val="Listenabsatz"/>
        <w:numPr>
          <w:ilvl w:val="0"/>
          <w:numId w:val="2"/>
        </w:numPr>
      </w:pPr>
      <w:r>
        <w:t xml:space="preserve">Häufige Vor-Diagnosen: Depression, Angststörung, </w:t>
      </w:r>
      <w:proofErr w:type="spellStart"/>
      <w:r>
        <w:t>Borderline</w:t>
      </w:r>
      <w:proofErr w:type="spellEnd"/>
      <w:r>
        <w:t>, ADHS (allein), Persönlichkeitsstörung.</w:t>
      </w:r>
    </w:p>
    <w:p w14:paraId="6E329149" w14:textId="77777777" w:rsidR="000607E8" w:rsidRDefault="00000000">
      <w:pPr>
        <w:pStyle w:val="Listenabsatz"/>
        <w:numPr>
          <w:ilvl w:val="0"/>
          <w:numId w:val="2"/>
        </w:numPr>
      </w:pPr>
      <w:r>
        <w:t>Auslöser für Diagnose: Lebenskrisen, Burnout, Kind bekommt Diagnose, eigene Recherche.</w:t>
      </w:r>
    </w:p>
    <w:p w14:paraId="24FC99C1" w14:textId="77777777" w:rsidR="000607E8" w:rsidRDefault="00000000">
      <w:pPr>
        <w:pStyle w:val="Listenabsatz"/>
        <w:numPr>
          <w:ilvl w:val="0"/>
          <w:numId w:val="2"/>
        </w:numPr>
      </w:pPr>
      <w:r>
        <w:rPr>
          <w:b/>
          <w:bCs/>
        </w:rPr>
        <w:lastRenderedPageBreak/>
        <w:t xml:space="preserve">Ambivalenz der Diagnose: </w:t>
      </w:r>
      <w:r>
        <w:t xml:space="preserve">Erleichterung – Trauer – Wut. Alles gleichzeitig ist möglich und </w:t>
      </w:r>
      <w:proofErr w:type="gramStart"/>
      <w:r>
        <w:t>valide</w:t>
      </w:r>
      <w:proofErr w:type="gramEnd"/>
      <w:r>
        <w:t>.</w:t>
      </w:r>
    </w:p>
    <w:p w14:paraId="09A33AE3" w14:textId="77777777" w:rsidR="000607E8" w:rsidRDefault="00000000">
      <w:pPr>
        <w:pStyle w:val="Listenabsatz"/>
        <w:numPr>
          <w:ilvl w:val="0"/>
          <w:numId w:val="2"/>
        </w:numPr>
      </w:pPr>
      <w:r>
        <w:t>Keine Diagnose ändert, wer man war. Sie erklärt es rückwirkend.</w:t>
      </w:r>
    </w:p>
    <w:p w14:paraId="5616CBAA" w14:textId="77777777" w:rsidR="000607E8" w:rsidRDefault="000607E8">
      <w:pPr>
        <w:spacing w:after="200"/>
      </w:pPr>
    </w:p>
    <w:p w14:paraId="43901140" w14:textId="77777777" w:rsidR="000607E8" w:rsidRDefault="00000000">
      <w:pPr>
        <w:pStyle w:val="berschrift2"/>
      </w:pPr>
      <w:r>
        <w:t>Häufige Missverständnisse</w:t>
      </w:r>
    </w:p>
    <w:p w14:paraId="08F28B96" w14:textId="77777777" w:rsidR="000607E8" w:rsidRDefault="00000000">
      <w:pPr>
        <w:spacing w:before="100" w:after="60"/>
      </w:pPr>
      <w:r>
        <w:rPr>
          <w:color w:val="8B1A1A"/>
        </w:rPr>
        <w:t>„Autisten haben kein Empathie</w:t>
      </w:r>
      <w:proofErr w:type="gramStart"/>
      <w:r>
        <w:rPr>
          <w:color w:val="8B1A1A"/>
        </w:rPr>
        <w:t xml:space="preserve">“  </w:t>
      </w:r>
      <w:r>
        <w:rPr>
          <w:b/>
          <w:bCs/>
        </w:rPr>
        <w:t>≠</w:t>
      </w:r>
      <w:proofErr w:type="gramEnd"/>
      <w:r>
        <w:rPr>
          <w:b/>
          <w:bCs/>
        </w:rPr>
        <w:t xml:space="preserve">  </w:t>
      </w:r>
      <w:r>
        <w:rPr>
          <w:b/>
          <w:bCs/>
          <w:color w:val="0B4D38"/>
        </w:rPr>
        <w:t>Oft zu viel davon.</w:t>
      </w:r>
    </w:p>
    <w:p w14:paraId="5BE1A9F8" w14:textId="77777777" w:rsidR="000607E8" w:rsidRDefault="00000000">
      <w:pPr>
        <w:spacing w:before="100" w:after="60"/>
      </w:pPr>
      <w:r>
        <w:rPr>
          <w:color w:val="8B1A1A"/>
        </w:rPr>
        <w:t>„Autismus ist eine Kinderkrankheit</w:t>
      </w:r>
      <w:proofErr w:type="gramStart"/>
      <w:r>
        <w:rPr>
          <w:color w:val="8B1A1A"/>
        </w:rPr>
        <w:t xml:space="preserve">“  </w:t>
      </w:r>
      <w:r>
        <w:rPr>
          <w:b/>
          <w:bCs/>
        </w:rPr>
        <w:t>≠</w:t>
      </w:r>
      <w:proofErr w:type="gramEnd"/>
      <w:r>
        <w:rPr>
          <w:b/>
          <w:bCs/>
        </w:rPr>
        <w:t xml:space="preserve">  </w:t>
      </w:r>
      <w:r>
        <w:rPr>
          <w:b/>
          <w:bCs/>
          <w:color w:val="0B4D38"/>
        </w:rPr>
        <w:t>Bleibt übers Leben – verändert sich nur.</w:t>
      </w:r>
    </w:p>
    <w:p w14:paraId="7B427CEF" w14:textId="77777777" w:rsidR="000607E8" w:rsidRDefault="00000000">
      <w:pPr>
        <w:spacing w:before="100" w:after="60"/>
      </w:pPr>
      <w:r>
        <w:rPr>
          <w:color w:val="8B1A1A"/>
        </w:rPr>
        <w:t>„Man sieht Autismus</w:t>
      </w:r>
      <w:proofErr w:type="gramStart"/>
      <w:r>
        <w:rPr>
          <w:color w:val="8B1A1A"/>
        </w:rPr>
        <w:t xml:space="preserve">“  </w:t>
      </w:r>
      <w:r>
        <w:rPr>
          <w:b/>
          <w:bCs/>
        </w:rPr>
        <w:t>≠</w:t>
      </w:r>
      <w:proofErr w:type="gramEnd"/>
      <w:r>
        <w:rPr>
          <w:b/>
          <w:bCs/>
        </w:rPr>
        <w:t xml:space="preserve">  </w:t>
      </w:r>
      <w:proofErr w:type="spellStart"/>
      <w:r>
        <w:rPr>
          <w:b/>
          <w:bCs/>
          <w:color w:val="0B4D38"/>
        </w:rPr>
        <w:t>Masking</w:t>
      </w:r>
      <w:proofErr w:type="spellEnd"/>
      <w:r>
        <w:rPr>
          <w:b/>
          <w:bCs/>
          <w:color w:val="0B4D38"/>
        </w:rPr>
        <w:t xml:space="preserve"> macht es unsichtbar. Besonders bei Frauen.</w:t>
      </w:r>
    </w:p>
    <w:p w14:paraId="40BFE7F7" w14:textId="77777777" w:rsidR="000607E8" w:rsidRDefault="00000000">
      <w:pPr>
        <w:spacing w:before="100" w:after="60"/>
      </w:pPr>
      <w:r>
        <w:rPr>
          <w:color w:val="8B1A1A"/>
        </w:rPr>
        <w:t>„Wer sprechen kann, ist nicht schwer betroffen</w:t>
      </w:r>
      <w:proofErr w:type="gramStart"/>
      <w:r>
        <w:rPr>
          <w:color w:val="8B1A1A"/>
        </w:rPr>
        <w:t xml:space="preserve">“  </w:t>
      </w:r>
      <w:r>
        <w:rPr>
          <w:b/>
          <w:bCs/>
        </w:rPr>
        <w:t>≠</w:t>
      </w:r>
      <w:proofErr w:type="gramEnd"/>
      <w:r>
        <w:rPr>
          <w:b/>
          <w:bCs/>
        </w:rPr>
        <w:t xml:space="preserve">  </w:t>
      </w:r>
      <w:r>
        <w:rPr>
          <w:b/>
          <w:bCs/>
          <w:color w:val="0B4D38"/>
        </w:rPr>
        <w:t>Sprachvermögen sagt nichts über Unterstützungsbedarf aus.</w:t>
      </w:r>
    </w:p>
    <w:p w14:paraId="1D32D469" w14:textId="77777777" w:rsidR="000607E8" w:rsidRDefault="00000000">
      <w:pPr>
        <w:spacing w:before="100" w:after="60"/>
      </w:pPr>
      <w:r>
        <w:rPr>
          <w:color w:val="8B1A1A"/>
        </w:rPr>
        <w:t>„Autismus wird durch Impfungen ausgelöst</w:t>
      </w:r>
      <w:proofErr w:type="gramStart"/>
      <w:r>
        <w:rPr>
          <w:color w:val="8B1A1A"/>
        </w:rPr>
        <w:t xml:space="preserve">“  </w:t>
      </w:r>
      <w:r>
        <w:rPr>
          <w:b/>
          <w:bCs/>
        </w:rPr>
        <w:t>≠</w:t>
      </w:r>
      <w:proofErr w:type="gramEnd"/>
      <w:r>
        <w:rPr>
          <w:b/>
          <w:bCs/>
        </w:rPr>
        <w:t xml:space="preserve">  </w:t>
      </w:r>
      <w:r>
        <w:rPr>
          <w:b/>
          <w:bCs/>
          <w:color w:val="0B4D38"/>
        </w:rPr>
        <w:t>Eindeutig widerlegt. Autismus ist genetisch-neurobiologisch.</w:t>
      </w:r>
    </w:p>
    <w:p w14:paraId="420B8647" w14:textId="77777777" w:rsidR="000607E8" w:rsidRDefault="00000000">
      <w:pPr>
        <w:spacing w:before="100" w:after="60"/>
      </w:pPr>
      <w:r>
        <w:rPr>
          <w:color w:val="8B1A1A"/>
        </w:rPr>
        <w:t>„Autisten wollen keinen Kontakt</w:t>
      </w:r>
      <w:proofErr w:type="gramStart"/>
      <w:r>
        <w:rPr>
          <w:color w:val="8B1A1A"/>
        </w:rPr>
        <w:t xml:space="preserve">“  </w:t>
      </w:r>
      <w:r>
        <w:rPr>
          <w:b/>
          <w:bCs/>
        </w:rPr>
        <w:t>≠</w:t>
      </w:r>
      <w:proofErr w:type="gramEnd"/>
      <w:r>
        <w:rPr>
          <w:b/>
          <w:bCs/>
        </w:rPr>
        <w:t xml:space="preserve">  </w:t>
      </w:r>
      <w:r>
        <w:rPr>
          <w:b/>
          <w:bCs/>
          <w:color w:val="0B4D38"/>
        </w:rPr>
        <w:t>Viele wollen tief verbunden sein – auf ihre eigene Art.</w:t>
      </w:r>
    </w:p>
    <w:p w14:paraId="4F2B2C3B" w14:textId="77777777" w:rsidR="000607E8" w:rsidRDefault="000607E8">
      <w:pPr>
        <w:spacing w:after="200"/>
      </w:pPr>
    </w:p>
    <w:p w14:paraId="464CB67D" w14:textId="77777777" w:rsidR="000607E8" w:rsidRDefault="000607E8">
      <w:pPr>
        <w:pBdr>
          <w:bottom w:val="single" w:sz="6" w:space="4" w:color="0F3213"/>
        </w:pBdr>
        <w:spacing w:after="280"/>
      </w:pPr>
    </w:p>
    <w:p w14:paraId="0801B833" w14:textId="77777777" w:rsidR="000607E8" w:rsidRDefault="00000000">
      <w:pPr>
        <w:pStyle w:val="berschrift2"/>
      </w:pPr>
      <w:r>
        <w:t>Erscheinungen – so zeigt es sich</w:t>
      </w:r>
    </w:p>
    <w:p w14:paraId="45042763" w14:textId="77777777" w:rsidR="000607E8" w:rsidRDefault="00000000">
      <w:pPr>
        <w:spacing w:after="160"/>
      </w:pPr>
      <w:r>
        <w:rPr>
          <w:i/>
          <w:iCs/>
          <w:color w:val="888888"/>
        </w:rPr>
        <w:t>Diese Sammlung ist keine Diagnose. Sie ist eine Galerie des Wiedererkennens.</w:t>
      </w:r>
    </w:p>
    <w:p w14:paraId="4B67D6E8" w14:textId="77777777" w:rsidR="000607E8" w:rsidRDefault="00000000">
      <w:pPr>
        <w:pStyle w:val="Listenabsatz"/>
        <w:numPr>
          <w:ilvl w:val="0"/>
          <w:numId w:val="2"/>
        </w:numPr>
      </w:pPr>
      <w:r>
        <w:t>Aus dem Haus gehen kostet mehr Vorbereitung als die eigentliche Aufgabe draußen. Die Türschwelle ist eine echte Barriere.</w:t>
      </w:r>
    </w:p>
    <w:p w14:paraId="69AC693B" w14:textId="77777777" w:rsidR="000607E8" w:rsidRDefault="00000000">
      <w:pPr>
        <w:pStyle w:val="Listenabsatz"/>
        <w:numPr>
          <w:ilvl w:val="0"/>
          <w:numId w:val="2"/>
        </w:numPr>
      </w:pPr>
      <w:r>
        <w:t>Kleidung muss sich richtig anfühlen. Bestimmte Stoffe, Etiketten oder Nähte können einen Tag unbrauchbar machen.</w:t>
      </w:r>
    </w:p>
    <w:p w14:paraId="164DEC4E" w14:textId="77777777" w:rsidR="000607E8" w:rsidRDefault="00000000">
      <w:pPr>
        <w:pStyle w:val="Listenabsatz"/>
        <w:numPr>
          <w:ilvl w:val="0"/>
          <w:numId w:val="2"/>
        </w:numPr>
      </w:pPr>
      <w:r>
        <w:t>Ein Wort oder ein Satz aus einem Gespräch von vor drei Tagen beschäftigt noch. Irgendwas war da. Man weiß nur nicht genau was.</w:t>
      </w:r>
    </w:p>
    <w:p w14:paraId="466F2714" w14:textId="77777777" w:rsidR="000607E8" w:rsidRDefault="00000000">
      <w:pPr>
        <w:pStyle w:val="Listenabsatz"/>
        <w:numPr>
          <w:ilvl w:val="0"/>
          <w:numId w:val="2"/>
        </w:numPr>
      </w:pPr>
      <w:r>
        <w:t>Kleine Ungerechtigkeit gegen jemand anderen – und das System springt an. Groß, laut, sofort.</w:t>
      </w:r>
    </w:p>
    <w:p w14:paraId="313B13B1" w14:textId="77777777" w:rsidR="000607E8" w:rsidRDefault="00000000">
      <w:pPr>
        <w:pStyle w:val="Listenabsatz"/>
        <w:numPr>
          <w:ilvl w:val="0"/>
          <w:numId w:val="2"/>
        </w:numPr>
      </w:pPr>
      <w:r>
        <w:rPr>
          <w:b/>
          <w:bCs/>
        </w:rPr>
        <w:t xml:space="preserve">Spezialinteressen: </w:t>
      </w:r>
      <w:r>
        <w:t>Jemand fragt nach – und man könnte stundenlang reden. Niemand fragt – man hält es innerlich zurück und es kostet.</w:t>
      </w:r>
    </w:p>
    <w:p w14:paraId="426F3695" w14:textId="77777777" w:rsidR="000607E8" w:rsidRDefault="00000000">
      <w:pPr>
        <w:pStyle w:val="Listenabsatz"/>
        <w:numPr>
          <w:ilvl w:val="0"/>
          <w:numId w:val="2"/>
        </w:numPr>
      </w:pPr>
      <w:r>
        <w:t>Hunger, Durst, Schmerz, Müdigkeit – werden übersehen oder erst sehr spät wahrgenommen. Körpersignale kommen mit Verzögerung oder gar nicht an.</w:t>
      </w:r>
    </w:p>
    <w:p w14:paraId="3F8DBE55" w14:textId="77777777" w:rsidR="000607E8" w:rsidRDefault="00000000">
      <w:pPr>
        <w:pStyle w:val="Listenabsatz"/>
        <w:numPr>
          <w:ilvl w:val="0"/>
          <w:numId w:val="2"/>
        </w:numPr>
      </w:pPr>
      <w:r>
        <w:t>Nach einem sozialen Event: komplett leer. Die Energie-Rechnung kommt später – manchmal erst am nächsten Tag.</w:t>
      </w:r>
    </w:p>
    <w:p w14:paraId="3BCB924E" w14:textId="77777777" w:rsidR="000607E8" w:rsidRDefault="00000000">
      <w:pPr>
        <w:pStyle w:val="Listenabsatz"/>
        <w:numPr>
          <w:ilvl w:val="0"/>
          <w:numId w:val="2"/>
        </w:numPr>
      </w:pPr>
      <w:r>
        <w:t>Zuhause angekommen – die Maske fällt. Keine Sprache mehr. Keine Antworten. Nicht weil man nicht will, sondern weil nichts mehr da ist.</w:t>
      </w:r>
    </w:p>
    <w:p w14:paraId="0BB8827F" w14:textId="77777777" w:rsidR="000607E8" w:rsidRDefault="00000000">
      <w:pPr>
        <w:pStyle w:val="Listenabsatz"/>
        <w:numPr>
          <w:ilvl w:val="0"/>
          <w:numId w:val="2"/>
        </w:numPr>
      </w:pPr>
      <w:proofErr w:type="spellStart"/>
      <w:r>
        <w:t>Stimming</w:t>
      </w:r>
      <w:proofErr w:type="spellEnd"/>
      <w:r>
        <w:t>: schaukeln, summen, tippen, reiben, zupfen – meist unbewusst, regulierend. Von außen auffällig, von innen notwendig.</w:t>
      </w:r>
    </w:p>
    <w:p w14:paraId="4072F28A" w14:textId="77777777" w:rsidR="000607E8" w:rsidRDefault="00000000">
      <w:pPr>
        <w:pStyle w:val="Listenabsatz"/>
        <w:numPr>
          <w:ilvl w:val="0"/>
          <w:numId w:val="2"/>
        </w:numPr>
      </w:pPr>
      <w:r>
        <w:t>Ironie und Sarkasmus: das Gelernte greift – aber es kostet eine extra Verarbeitungsschicht. Manchmal landet es nicht, manchmal landet es falsch.</w:t>
      </w:r>
    </w:p>
    <w:p w14:paraId="14CF7F03" w14:textId="77777777" w:rsidR="000607E8" w:rsidRDefault="00000000">
      <w:pPr>
        <w:pStyle w:val="Listenabsatz"/>
        <w:numPr>
          <w:ilvl w:val="0"/>
          <w:numId w:val="2"/>
        </w:numPr>
      </w:pPr>
      <w:r>
        <w:t>Wenn ein Plan sich ändert – kurz vorher, unerwartet – fühlt es sich nicht wie eine kleine Unannehmlichkeit an. Es fühlt sich wie ein Riss an.</w:t>
      </w:r>
    </w:p>
    <w:p w14:paraId="774858A0" w14:textId="77777777" w:rsidR="000607E8" w:rsidRDefault="00000000">
      <w:pPr>
        <w:pStyle w:val="Listenabsatz"/>
        <w:numPr>
          <w:ilvl w:val="0"/>
          <w:numId w:val="2"/>
        </w:numPr>
      </w:pPr>
      <w:r>
        <w:t>Gespräche noch mal durchspielen. Abends. Nachts. Was hätte ich sagen sollen? Was habe ich gemeint? Was hat die andere Person gemeint?</w:t>
      </w:r>
    </w:p>
    <w:p w14:paraId="2D7CD75B" w14:textId="77777777" w:rsidR="000607E8" w:rsidRDefault="00000000">
      <w:pPr>
        <w:pStyle w:val="Listenabsatz"/>
        <w:numPr>
          <w:ilvl w:val="0"/>
          <w:numId w:val="2"/>
        </w:numPr>
      </w:pPr>
      <w:r>
        <w:lastRenderedPageBreak/>
        <w:t>Im Restaurant: Geräusche, Gerüche, Licht, Menschen – alles gleichzeitig. Das Essen ist Nebensache. Erst muss die Umgebung verarbeitet werden.</w:t>
      </w:r>
    </w:p>
    <w:p w14:paraId="295E80D2" w14:textId="77777777" w:rsidR="000607E8" w:rsidRDefault="00000000">
      <w:pPr>
        <w:pStyle w:val="Listenabsatz"/>
        <w:numPr>
          <w:ilvl w:val="0"/>
          <w:numId w:val="2"/>
        </w:numPr>
      </w:pPr>
      <w:r>
        <w:t xml:space="preserve">Wenn jemand sich anders verhält als erwartet – auch nur ein bisschen – ist </w:t>
      </w:r>
      <w:proofErr w:type="gramStart"/>
      <w:r>
        <w:t>das echtes Erschrecken</w:t>
      </w:r>
      <w:proofErr w:type="gramEnd"/>
      <w:r>
        <w:t>. Nicht Drama. Echtes Nicht-Einordnen-Können.</w:t>
      </w:r>
    </w:p>
    <w:p w14:paraId="2980CC10" w14:textId="77777777" w:rsidR="000607E8" w:rsidRDefault="00000000">
      <w:pPr>
        <w:pStyle w:val="Listenabsatz"/>
        <w:numPr>
          <w:ilvl w:val="0"/>
          <w:numId w:val="2"/>
        </w:numPr>
      </w:pPr>
      <w:r>
        <w:t>Aufgaben, für die man sich vorbereitet hat, können plötzlich nicht mehr stattfinden. Das System hat aufgehört. Shutdown.</w:t>
      </w:r>
    </w:p>
    <w:p w14:paraId="4D213823" w14:textId="77777777" w:rsidR="000607E8" w:rsidRDefault="00000000">
      <w:pPr>
        <w:pStyle w:val="Listenabsatz"/>
        <w:numPr>
          <w:ilvl w:val="0"/>
          <w:numId w:val="2"/>
        </w:numPr>
      </w:pPr>
      <w:r>
        <w:t xml:space="preserve">Manche </w:t>
      </w:r>
      <w:proofErr w:type="spellStart"/>
      <w:r>
        <w:t>Tieräusche</w:t>
      </w:r>
      <w:proofErr w:type="spellEnd"/>
      <w:r>
        <w:t>, Babyschreien oder bestimmte Frequenzen – nicht einfach unangenehm. Körperlich schmerzhaft.</w:t>
      </w:r>
    </w:p>
    <w:p w14:paraId="0E7364A5" w14:textId="77777777" w:rsidR="000607E8" w:rsidRDefault="00000000">
      <w:pPr>
        <w:pStyle w:val="Listenabsatz"/>
        <w:numPr>
          <w:ilvl w:val="0"/>
          <w:numId w:val="2"/>
        </w:numPr>
      </w:pPr>
      <w:r>
        <w:t>Manchmal versteht man Gespräche besser, wenn man nicht direkt in die Augen schaut. Augenkontakt kostet Verarbeitungskapazität.</w:t>
      </w:r>
    </w:p>
    <w:p w14:paraId="7BE8BDD1" w14:textId="77777777" w:rsidR="000607E8" w:rsidRDefault="00000000">
      <w:pPr>
        <w:pStyle w:val="Listenabsatz"/>
        <w:numPr>
          <w:ilvl w:val="0"/>
          <w:numId w:val="2"/>
        </w:numPr>
      </w:pPr>
      <w:r>
        <w:t>Viel zu genau wissen, was man will, wie man es will und warum die Abweichung davon nicht geht – und gleichzeitig nicht erklären können warum.</w:t>
      </w:r>
    </w:p>
    <w:p w14:paraId="2AC6FDC1" w14:textId="77777777" w:rsidR="000607E8" w:rsidRDefault="00000000">
      <w:pPr>
        <w:pStyle w:val="Listenabsatz"/>
        <w:numPr>
          <w:ilvl w:val="0"/>
          <w:numId w:val="2"/>
        </w:numPr>
      </w:pPr>
      <w:r>
        <w:t>Tage, an denen alles geht – und Tage, an denen gar nichts geht. Ohne erkennbaren Grund von außen.</w:t>
      </w:r>
    </w:p>
    <w:p w14:paraId="2F018E49" w14:textId="77777777" w:rsidR="000607E8" w:rsidRDefault="000607E8">
      <w:pPr>
        <w:spacing w:after="400"/>
      </w:pPr>
    </w:p>
    <w:p w14:paraId="69BC50B2" w14:textId="77777777" w:rsidR="000607E8" w:rsidRDefault="00000000">
      <w:pPr>
        <w:pBdr>
          <w:top w:val="single" w:sz="3" w:space="8" w:color="CCCCCC"/>
        </w:pBdr>
        <w:spacing w:before="160" w:after="60"/>
      </w:pPr>
      <w:r>
        <w:rPr>
          <w:i/>
          <w:iCs/>
          <w:color w:val="888888"/>
          <w:sz w:val="17"/>
          <w:szCs w:val="17"/>
        </w:rPr>
        <w:t xml:space="preserve">¹ Double </w:t>
      </w:r>
      <w:proofErr w:type="spellStart"/>
      <w:r>
        <w:rPr>
          <w:i/>
          <w:iCs/>
          <w:color w:val="888888"/>
          <w:sz w:val="17"/>
          <w:szCs w:val="17"/>
        </w:rPr>
        <w:t>Empathy</w:t>
      </w:r>
      <w:proofErr w:type="spellEnd"/>
      <w:r>
        <w:rPr>
          <w:i/>
          <w:iCs/>
          <w:color w:val="888888"/>
          <w:sz w:val="17"/>
          <w:szCs w:val="17"/>
        </w:rPr>
        <w:t xml:space="preserve"> Problem: Theorie des autistischen Forschers Dr. Damian Milton (2012). Kommunikationsprobleme zwischen autistischen und nicht-autistischen Menschen entstehen aus gegenseitigem Nicht-Verstehen – nicht aus einem einseitigen Defizit der autistischen Seite. Studien (2022, 2024) zeigen: Autistische Menschen kommunizieren unter sich deutlich erfolgreicher. (Milton, Disability &amp; Society, 2012; Milton et al., </w:t>
      </w:r>
      <w:proofErr w:type="spellStart"/>
      <w:r>
        <w:rPr>
          <w:i/>
          <w:iCs/>
          <w:color w:val="888888"/>
          <w:sz w:val="17"/>
          <w:szCs w:val="17"/>
        </w:rPr>
        <w:t>Autism</w:t>
      </w:r>
      <w:proofErr w:type="spellEnd"/>
      <w:r>
        <w:rPr>
          <w:i/>
          <w:iCs/>
          <w:color w:val="888888"/>
          <w:sz w:val="17"/>
          <w:szCs w:val="17"/>
        </w:rPr>
        <w:t>, 2022)</w:t>
      </w:r>
    </w:p>
    <w:p w14:paraId="7870B61F" w14:textId="77777777" w:rsidR="000607E8" w:rsidRDefault="00000000">
      <w:pPr>
        <w:spacing w:before="40" w:after="60"/>
      </w:pPr>
      <w:r>
        <w:rPr>
          <w:i/>
          <w:iCs/>
          <w:color w:val="888888"/>
          <w:sz w:val="17"/>
          <w:szCs w:val="17"/>
        </w:rPr>
        <w:t>² Monotropismus (Murray, Lesser &amp; Lawson, 2005): Die Tendenz, Aufmerksamkeit auf wenige Dinge gleichzeitig zu konzentrieren. Erklärt Hyperfokus, Schwierigkeiten bei Übergängen und die Tiefe von Spezialinteressen.</w:t>
      </w:r>
    </w:p>
    <w:p w14:paraId="1707ADF6" w14:textId="77777777" w:rsidR="000607E8" w:rsidRDefault="00000000">
      <w:pPr>
        <w:spacing w:before="40" w:after="60"/>
      </w:pPr>
      <w:r>
        <w:rPr>
          <w:i/>
          <w:iCs/>
          <w:color w:val="888888"/>
          <w:sz w:val="17"/>
          <w:szCs w:val="17"/>
        </w:rPr>
        <w:t xml:space="preserve">³ </w:t>
      </w:r>
      <w:proofErr w:type="spellStart"/>
      <w:r>
        <w:rPr>
          <w:i/>
          <w:iCs/>
          <w:color w:val="888888"/>
          <w:sz w:val="17"/>
          <w:szCs w:val="17"/>
        </w:rPr>
        <w:t>Masking</w:t>
      </w:r>
      <w:proofErr w:type="spellEnd"/>
      <w:r>
        <w:rPr>
          <w:i/>
          <w:iCs/>
          <w:color w:val="888888"/>
          <w:sz w:val="17"/>
          <w:szCs w:val="17"/>
        </w:rPr>
        <w:t xml:space="preserve"> / </w:t>
      </w:r>
      <w:proofErr w:type="spellStart"/>
      <w:r>
        <w:rPr>
          <w:i/>
          <w:iCs/>
          <w:color w:val="888888"/>
          <w:sz w:val="17"/>
          <w:szCs w:val="17"/>
        </w:rPr>
        <w:t>Camouflaging</w:t>
      </w:r>
      <w:proofErr w:type="spellEnd"/>
      <w:r>
        <w:rPr>
          <w:i/>
          <w:iCs/>
          <w:color w:val="888888"/>
          <w:sz w:val="17"/>
          <w:szCs w:val="17"/>
        </w:rPr>
        <w:t xml:space="preserve">: Studien zeigen, dass </w:t>
      </w:r>
      <w:proofErr w:type="gramStart"/>
      <w:r>
        <w:rPr>
          <w:i/>
          <w:iCs/>
          <w:color w:val="888888"/>
          <w:sz w:val="17"/>
          <w:szCs w:val="17"/>
        </w:rPr>
        <w:t>70  bis</w:t>
      </w:r>
      <w:proofErr w:type="gramEnd"/>
      <w:r>
        <w:rPr>
          <w:i/>
          <w:iCs/>
          <w:color w:val="888888"/>
          <w:sz w:val="17"/>
          <w:szCs w:val="17"/>
        </w:rPr>
        <w:t xml:space="preserve"> 90 % autistischer Erwachsener regelmäßig maskieren – viele ohne es zu wissen. Bei Frauen, Mädchen und AFAB-Personen ist </w:t>
      </w:r>
      <w:proofErr w:type="spellStart"/>
      <w:r>
        <w:rPr>
          <w:i/>
          <w:iCs/>
          <w:color w:val="888888"/>
          <w:sz w:val="17"/>
          <w:szCs w:val="17"/>
        </w:rPr>
        <w:t>Camouflaging</w:t>
      </w:r>
      <w:proofErr w:type="spellEnd"/>
      <w:r>
        <w:rPr>
          <w:i/>
          <w:iCs/>
          <w:color w:val="888888"/>
          <w:sz w:val="17"/>
          <w:szCs w:val="17"/>
        </w:rPr>
        <w:t xml:space="preserve"> signifikant häufiger. (Lai et al., 2017; Hull et al., 2019; Higgins et al., 2021)</w:t>
      </w:r>
    </w:p>
    <w:p w14:paraId="1CA98305" w14:textId="77777777" w:rsidR="000607E8" w:rsidRDefault="00000000">
      <w:pPr>
        <w:spacing w:before="40"/>
      </w:pPr>
      <w:r>
        <w:rPr>
          <w:i/>
          <w:iCs/>
          <w:color w:val="888888"/>
          <w:sz w:val="17"/>
          <w:szCs w:val="17"/>
        </w:rPr>
        <w:t xml:space="preserve">⁴ Spätdiagnose: Die häufigsten Vor-Diagnosen vor einer Autismus-Diagnose im Erwachsenenalter sind Depression, Angststörung und </w:t>
      </w:r>
      <w:proofErr w:type="spellStart"/>
      <w:r>
        <w:rPr>
          <w:i/>
          <w:iCs/>
          <w:color w:val="888888"/>
          <w:sz w:val="17"/>
          <w:szCs w:val="17"/>
        </w:rPr>
        <w:t>Borderline</w:t>
      </w:r>
      <w:proofErr w:type="spellEnd"/>
      <w:r>
        <w:rPr>
          <w:i/>
          <w:iCs/>
          <w:color w:val="888888"/>
          <w:sz w:val="17"/>
          <w:szCs w:val="17"/>
        </w:rPr>
        <w:t xml:space="preserve">-Persönlichkeitsstörung. Besonders bei Frauen dauert die Diagnose im Schnitt deutlich länger als bei Männern. (Rutherford et al., 2024; </w:t>
      </w:r>
      <w:proofErr w:type="spellStart"/>
      <w:r>
        <w:rPr>
          <w:i/>
          <w:iCs/>
          <w:color w:val="888888"/>
          <w:sz w:val="17"/>
          <w:szCs w:val="17"/>
        </w:rPr>
        <w:t>Autism</w:t>
      </w:r>
      <w:proofErr w:type="spellEnd"/>
      <w:r>
        <w:rPr>
          <w:i/>
          <w:iCs/>
          <w:color w:val="888888"/>
          <w:sz w:val="17"/>
          <w:szCs w:val="17"/>
        </w:rPr>
        <w:t xml:space="preserve"> Research, 2023)</w:t>
      </w:r>
    </w:p>
    <w:sectPr w:rsidR="000607E8">
      <w:footerReference w:type="default" r:id="rId7"/>
      <w:pgSz w:w="11906" w:h="16838"/>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2D34" w14:textId="77777777" w:rsidR="009D3BD8" w:rsidRDefault="009D3BD8">
      <w:r>
        <w:separator/>
      </w:r>
    </w:p>
  </w:endnote>
  <w:endnote w:type="continuationSeparator" w:id="0">
    <w:p w14:paraId="6C385629" w14:textId="77777777" w:rsidR="009D3BD8" w:rsidRDefault="009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D166" w14:textId="77777777" w:rsidR="000607E8" w:rsidRDefault="00000000">
    <w:pPr>
      <w:pBdr>
        <w:top w:val="single" w:sz="3" w:space="8" w:color="CCCCCC"/>
      </w:pBdr>
    </w:pPr>
    <w:proofErr w:type="spellStart"/>
    <w:proofErr w:type="gramStart"/>
    <w:r>
      <w:rPr>
        <w:b/>
        <w:bCs/>
        <w:color w:val="666666"/>
        <w:sz w:val="16"/>
        <w:szCs w:val="16"/>
      </w:rPr>
      <w:t>DisorderUnitz</w:t>
    </w:r>
    <w:proofErr w:type="spellEnd"/>
    <w:r>
      <w:rPr>
        <w:color w:val="666666"/>
        <w:sz w:val="16"/>
        <w:szCs w:val="16"/>
      </w:rPr>
      <w:t xml:space="preserve">  ·</w:t>
    </w:r>
    <w:proofErr w:type="gramEnd"/>
    <w:r>
      <w:rPr>
        <w:color w:val="666666"/>
        <w:sz w:val="16"/>
        <w:szCs w:val="16"/>
      </w:rPr>
      <w:t xml:space="preserve">  disorderunitz.de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B4E4" w14:textId="77777777" w:rsidR="009D3BD8" w:rsidRDefault="009D3BD8">
      <w:r>
        <w:separator/>
      </w:r>
    </w:p>
  </w:footnote>
  <w:footnote w:type="continuationSeparator" w:id="0">
    <w:p w14:paraId="04D1D95A" w14:textId="77777777" w:rsidR="009D3BD8" w:rsidRDefault="009D3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2960"/>
    <w:multiLevelType w:val="hybridMultilevel"/>
    <w:tmpl w:val="E5D0F4C8"/>
    <w:lvl w:ilvl="0" w:tplc="44968D0C">
      <w:start w:val="1"/>
      <w:numFmt w:val="bullet"/>
      <w:lvlText w:val="–"/>
      <w:lvlJc w:val="left"/>
      <w:pPr>
        <w:spacing w:after="80"/>
        <w:ind w:left="600" w:hanging="300"/>
      </w:pPr>
      <w:rPr>
        <w:rFonts w:ascii="Arial" w:eastAsia="Arial" w:hAnsi="Arial" w:cs="Arial"/>
        <w:color w:val="171001"/>
        <w:sz w:val="22"/>
        <w:szCs w:val="22"/>
      </w:rPr>
    </w:lvl>
    <w:lvl w:ilvl="1" w:tplc="7144963A">
      <w:numFmt w:val="decimal"/>
      <w:lvlText w:val=""/>
      <w:lvlJc w:val="left"/>
    </w:lvl>
    <w:lvl w:ilvl="2" w:tplc="A14A3EFA">
      <w:numFmt w:val="decimal"/>
      <w:lvlText w:val=""/>
      <w:lvlJc w:val="left"/>
    </w:lvl>
    <w:lvl w:ilvl="3" w:tplc="852A0A96">
      <w:numFmt w:val="decimal"/>
      <w:lvlText w:val=""/>
      <w:lvlJc w:val="left"/>
    </w:lvl>
    <w:lvl w:ilvl="4" w:tplc="5FA825DC">
      <w:numFmt w:val="decimal"/>
      <w:lvlText w:val=""/>
      <w:lvlJc w:val="left"/>
    </w:lvl>
    <w:lvl w:ilvl="5" w:tplc="C0C847B8">
      <w:numFmt w:val="decimal"/>
      <w:lvlText w:val=""/>
      <w:lvlJc w:val="left"/>
    </w:lvl>
    <w:lvl w:ilvl="6" w:tplc="B74C5A70">
      <w:numFmt w:val="decimal"/>
      <w:lvlText w:val=""/>
      <w:lvlJc w:val="left"/>
    </w:lvl>
    <w:lvl w:ilvl="7" w:tplc="DA404614">
      <w:numFmt w:val="decimal"/>
      <w:lvlText w:val=""/>
      <w:lvlJc w:val="left"/>
    </w:lvl>
    <w:lvl w:ilvl="8" w:tplc="CCC2EA8C">
      <w:numFmt w:val="decimal"/>
      <w:lvlText w:val=""/>
      <w:lvlJc w:val="left"/>
    </w:lvl>
  </w:abstractNum>
  <w:abstractNum w:abstractNumId="1" w15:restartNumberingAfterBreak="0">
    <w:nsid w:val="6F3636E3"/>
    <w:multiLevelType w:val="hybridMultilevel"/>
    <w:tmpl w:val="C90C4626"/>
    <w:lvl w:ilvl="0" w:tplc="759EBBCC">
      <w:start w:val="1"/>
      <w:numFmt w:val="bullet"/>
      <w:lvlText w:val="●"/>
      <w:lvlJc w:val="left"/>
      <w:pPr>
        <w:ind w:left="720" w:hanging="360"/>
      </w:pPr>
    </w:lvl>
    <w:lvl w:ilvl="1" w:tplc="30BAD10C">
      <w:start w:val="1"/>
      <w:numFmt w:val="bullet"/>
      <w:lvlText w:val="○"/>
      <w:lvlJc w:val="left"/>
      <w:pPr>
        <w:ind w:left="1440" w:hanging="360"/>
      </w:pPr>
    </w:lvl>
    <w:lvl w:ilvl="2" w:tplc="521ED496">
      <w:start w:val="1"/>
      <w:numFmt w:val="bullet"/>
      <w:lvlText w:val="■"/>
      <w:lvlJc w:val="left"/>
      <w:pPr>
        <w:ind w:left="2160" w:hanging="360"/>
      </w:pPr>
    </w:lvl>
    <w:lvl w:ilvl="3" w:tplc="0694ADDA">
      <w:start w:val="1"/>
      <w:numFmt w:val="bullet"/>
      <w:lvlText w:val="●"/>
      <w:lvlJc w:val="left"/>
      <w:pPr>
        <w:ind w:left="2880" w:hanging="360"/>
      </w:pPr>
    </w:lvl>
    <w:lvl w:ilvl="4" w:tplc="24D08EB6">
      <w:start w:val="1"/>
      <w:numFmt w:val="bullet"/>
      <w:lvlText w:val="○"/>
      <w:lvlJc w:val="left"/>
      <w:pPr>
        <w:ind w:left="3600" w:hanging="360"/>
      </w:pPr>
    </w:lvl>
    <w:lvl w:ilvl="5" w:tplc="458C8852">
      <w:start w:val="1"/>
      <w:numFmt w:val="bullet"/>
      <w:lvlText w:val="■"/>
      <w:lvlJc w:val="left"/>
      <w:pPr>
        <w:ind w:left="4320" w:hanging="360"/>
      </w:pPr>
    </w:lvl>
    <w:lvl w:ilvl="6" w:tplc="2A509FB8">
      <w:start w:val="1"/>
      <w:numFmt w:val="bullet"/>
      <w:lvlText w:val="●"/>
      <w:lvlJc w:val="left"/>
      <w:pPr>
        <w:ind w:left="5040" w:hanging="360"/>
      </w:pPr>
    </w:lvl>
    <w:lvl w:ilvl="7" w:tplc="0818F5FE">
      <w:start w:val="1"/>
      <w:numFmt w:val="bullet"/>
      <w:lvlText w:val="●"/>
      <w:lvlJc w:val="left"/>
      <w:pPr>
        <w:ind w:left="5760" w:hanging="360"/>
      </w:pPr>
    </w:lvl>
    <w:lvl w:ilvl="8" w:tplc="BC6024DC">
      <w:start w:val="1"/>
      <w:numFmt w:val="bullet"/>
      <w:lvlText w:val="●"/>
      <w:lvlJc w:val="left"/>
      <w:pPr>
        <w:ind w:left="6480" w:hanging="360"/>
      </w:pPr>
    </w:lvl>
  </w:abstractNum>
  <w:num w:numId="1" w16cid:durableId="1806046292">
    <w:abstractNumId w:val="1"/>
    <w:lvlOverride w:ilvl="0">
      <w:startOverride w:val="1"/>
    </w:lvlOverride>
  </w:num>
  <w:num w:numId="2" w16cid:durableId="9535610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E8"/>
    <w:rsid w:val="000607E8"/>
    <w:rsid w:val="00250C41"/>
    <w:rsid w:val="009D3BD8"/>
    <w:rsid w:val="00BD36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84F4"/>
  <w15:docId w15:val="{261E3435-9DAA-42AE-9BD5-D348505C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1001"/>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color w:val="0B4D38"/>
      <w:sz w:val="44"/>
      <w:szCs w:val="44"/>
    </w:rPr>
  </w:style>
  <w:style w:type="paragraph" w:styleId="berschrift2">
    <w:name w:val="heading 2"/>
    <w:uiPriority w:val="9"/>
    <w:unhideWhenUsed/>
    <w:qFormat/>
    <w:pPr>
      <w:spacing w:before="320" w:after="120"/>
      <w:outlineLvl w:val="1"/>
    </w:pPr>
    <w:rPr>
      <w:b/>
      <w:bCs/>
      <w:color w:val="0B4D38"/>
      <w:sz w:val="28"/>
      <w:szCs w:val="28"/>
    </w:rPr>
  </w:style>
  <w:style w:type="paragraph" w:styleId="berschrift3">
    <w:name w:val="heading 3"/>
    <w:uiPriority w:val="9"/>
    <w:unhideWhenUsed/>
    <w:qFormat/>
    <w:pPr>
      <w:spacing w:before="240" w:after="100"/>
      <w:outlineLvl w:val="2"/>
    </w:pPr>
    <w:rPr>
      <w:b/>
      <w:bCs/>
      <w:color w:val="0F3213"/>
      <w:sz w:val="23"/>
      <w:szCs w:val="23"/>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9662</Characters>
  <Application>Microsoft Office Word</Application>
  <DocSecurity>0</DocSecurity>
  <Lines>80</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Rahel Mode</cp:lastModifiedBy>
  <cp:revision>2</cp:revision>
  <dcterms:created xsi:type="dcterms:W3CDTF">2026-05-27T04:06:00Z</dcterms:created>
  <dcterms:modified xsi:type="dcterms:W3CDTF">2026-05-27T04:06:00Z</dcterms:modified>
</cp:coreProperties>
</file>